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UJIAN BEBAN STATIK CERUCUK</w:t>
      </w:r>
    </w:p>
    <w:p>
      <w:pPr>
        <w:spacing w:after="480"/>
      </w:pPr>
      <w:r>
        <w:rPr>
          <w:rFonts w:ascii="Aptos" w:hAnsi="Aptos"/>
          <w:b w:val="0"/>
          <w:color w:val="5E6B78"/>
          <w:sz w:val="26"/>
        </w:rPr>
        <w:t>Static Pile Load Testing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ujian beban statik cerucuk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ujian beban statik cerucuk.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Reaction beams dan angkur</w:t>
      </w:r>
    </w:p>
    <w:p>
      <w:pPr>
        <w:pStyle w:val="ListBullet"/>
        <w:spacing w:after="50"/>
        <w:ind w:left="369" w:hanging="170"/>
      </w:pPr>
      <w:r>
        <w:rPr>
          <w:rFonts w:ascii="Aptos" w:hAnsi="Aptos"/>
          <w:b w:val="0"/>
          <w:color w:val="263442"/>
          <w:sz w:val="19"/>
        </w:rPr>
        <w:t>Kentledge blocks where used</w:t>
      </w:r>
    </w:p>
    <w:p>
      <w:pPr>
        <w:pStyle w:val="ListBullet"/>
        <w:spacing w:after="50"/>
        <w:ind w:left="369" w:hanging="170"/>
      </w:pPr>
      <w:r>
        <w:rPr>
          <w:rFonts w:ascii="Aptos" w:hAnsi="Aptos"/>
          <w:b w:val="0"/>
          <w:color w:val="263442"/>
          <w:sz w:val="19"/>
        </w:rPr>
        <w:t>Bearing plates</w:t>
      </w:r>
    </w:p>
    <w:p>
      <w:pPr>
        <w:pStyle w:val="ListBullet"/>
        <w:spacing w:after="50"/>
        <w:ind w:left="369" w:hanging="170"/>
      </w:pPr>
      <w:r>
        <w:rPr>
          <w:rFonts w:ascii="Aptos" w:hAnsi="Aptos"/>
          <w:b w:val="0"/>
          <w:color w:val="263442"/>
          <w:sz w:val="19"/>
        </w:rPr>
        <w:t>Reference beams</w:t>
      </w:r>
    </w:p>
    <w:p>
      <w:pPr>
        <w:pStyle w:val="ListBullet"/>
        <w:spacing w:after="50"/>
        <w:ind w:left="369" w:hanging="170"/>
      </w:pPr>
      <w:r>
        <w:rPr>
          <w:rFonts w:ascii="Aptos" w:hAnsi="Aptos"/>
          <w:b w:val="0"/>
          <w:color w:val="263442"/>
          <w:sz w:val="19"/>
        </w:rPr>
        <w:t>Jalankan ukur targets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Jek hidraulik</w:t>
      </w:r>
    </w:p>
    <w:p>
      <w:pPr>
        <w:pStyle w:val="ListBullet"/>
        <w:spacing w:after="50"/>
        <w:ind w:left="369" w:hanging="170"/>
      </w:pPr>
      <w:r>
        <w:rPr>
          <w:rFonts w:ascii="Aptos" w:hAnsi="Aptos"/>
          <w:b w:val="0"/>
          <w:color w:val="263442"/>
          <w:sz w:val="19"/>
        </w:rPr>
        <w:t>Calibrated bebankan cells dan gauges</w:t>
      </w:r>
    </w:p>
    <w:p>
      <w:pPr>
        <w:pStyle w:val="ListBullet"/>
        <w:spacing w:after="50"/>
        <w:ind w:left="369" w:hanging="170"/>
      </w:pPr>
      <w:r>
        <w:rPr>
          <w:rFonts w:ascii="Aptos" w:hAnsi="Aptos"/>
          <w:b w:val="0"/>
          <w:color w:val="263442"/>
          <w:sz w:val="19"/>
        </w:rPr>
        <w:t>Dial gauges atau displacement sensors</w:t>
      </w:r>
    </w:p>
    <w:p>
      <w:pPr>
        <w:pStyle w:val="ListBullet"/>
        <w:spacing w:after="50"/>
        <w:ind w:left="369" w:hanging="170"/>
      </w:pPr>
      <w:r>
        <w:rPr>
          <w:rFonts w:ascii="Aptos" w:hAnsi="Aptos"/>
          <w:b w:val="0"/>
          <w:color w:val="263442"/>
          <w:sz w:val="19"/>
        </w:rPr>
        <w:t>Data logger</w:t>
      </w:r>
    </w:p>
    <w:p>
      <w:pPr>
        <w:pStyle w:val="ListBullet"/>
        <w:spacing w:after="50"/>
        <w:ind w:left="369" w:hanging="170"/>
      </w:pPr>
      <w:r>
        <w:rPr>
          <w:rFonts w:ascii="Aptos" w:hAnsi="Aptos"/>
          <w:b w:val="0"/>
          <w:color w:val="263442"/>
          <w:sz w:val="19"/>
        </w:rPr>
        <w:t>Jalankan ukur aras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ujian beban statik cerucuk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Reaction beams dan angkur, Kentledge blocks where used, Bearing plates, Reference beams, Jalankan ukur targets.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uji standard. </w:t>
      </w:r>
      <w:r>
        <w:rPr>
          <w:rFonts w:ascii="Aptos" w:hAnsi="Aptos"/>
          <w:b w:val="0"/>
          <w:color w:val="263442"/>
          <w:sz w:val="19"/>
        </w:rPr>
        <w:t>Luluskan  uji standard, reaction reka bentuk, bebankan cycle, acceptance criteria, zon larangan dan contingency pelan.</w:t>
      </w:r>
    </w:p>
    <w:p>
      <w:pPr>
        <w:keepLines/>
        <w:spacing w:after="100" w:line="269" w:lineRule="auto"/>
        <w:ind w:left="369" w:hanging="369"/>
      </w:pPr>
      <w:r>
        <w:rPr>
          <w:rFonts w:ascii="Aptos" w:hAnsi="Aptos"/>
          <w:b/>
          <w:color w:val="071E33"/>
          <w:sz w:val="19"/>
        </w:rPr>
        <w:t xml:space="preserve">2. Sahkan uji-pile age. </w:t>
      </w:r>
      <w:r>
        <w:rPr>
          <w:rFonts w:ascii="Aptos" w:hAnsi="Aptos"/>
          <w:b w:val="0"/>
          <w:color w:val="263442"/>
          <w:sz w:val="19"/>
        </w:rPr>
        <w:t>Sahkan uji-pile age dan kekuatan dan independently periksa reaction beams, angkur, kentledge dan foundations.</w:t>
      </w:r>
    </w:p>
    <w:p>
      <w:pPr>
        <w:keepLines/>
        <w:spacing w:after="100" w:line="269" w:lineRule="auto"/>
        <w:ind w:left="369" w:hanging="369"/>
      </w:pPr>
      <w:r>
        <w:rPr>
          <w:rFonts w:ascii="Aptos" w:hAnsi="Aptos"/>
          <w:b/>
          <w:color w:val="071E33"/>
          <w:sz w:val="19"/>
        </w:rPr>
        <w:t xml:space="preserve">3. Pasang centred jacks. </w:t>
      </w:r>
      <w:r>
        <w:rPr>
          <w:rFonts w:ascii="Aptos" w:hAnsi="Aptos"/>
          <w:b w:val="0"/>
          <w:color w:val="263442"/>
          <w:sz w:val="19"/>
        </w:rPr>
        <w:t>Pasang centred jacks, bebankan cells dan displacement gauges pada stable reference beams outside  influence zone.</w:t>
      </w:r>
    </w:p>
    <w:p>
      <w:pPr>
        <w:keepLines/>
        <w:spacing w:after="100" w:line="269" w:lineRule="auto"/>
        <w:ind w:left="369" w:hanging="369"/>
      </w:pPr>
      <w:r>
        <w:rPr>
          <w:rFonts w:ascii="Aptos" w:hAnsi="Aptos"/>
          <w:b/>
          <w:color w:val="071E33"/>
          <w:sz w:val="19"/>
        </w:rPr>
        <w:t xml:space="preserve">4. Gunakan seating bebankan. </w:t>
      </w:r>
      <w:r>
        <w:rPr>
          <w:rFonts w:ascii="Aptos" w:hAnsi="Aptos"/>
          <w:b w:val="0"/>
          <w:color w:val="263442"/>
          <w:sz w:val="19"/>
        </w:rPr>
        <w:t>Gunakan seating bebankan dan uji increments di  ditetapkan rate, holding setiap stage until reading criteria are met.</w:t>
      </w:r>
    </w:p>
    <w:p>
      <w:pPr>
        <w:keepLines/>
        <w:spacing w:after="100" w:line="269" w:lineRule="auto"/>
        <w:ind w:left="369" w:hanging="369"/>
      </w:pPr>
      <w:r>
        <w:rPr>
          <w:rFonts w:ascii="Aptos" w:hAnsi="Aptos"/>
          <w:b/>
          <w:color w:val="071E33"/>
          <w:sz w:val="19"/>
        </w:rPr>
        <w:t xml:space="preserve">5. Rekodkan bebankan, time, settlement, rebound. </w:t>
      </w:r>
      <w:r>
        <w:rPr>
          <w:rFonts w:ascii="Aptos" w:hAnsi="Aptos"/>
          <w:b w:val="0"/>
          <w:color w:val="263442"/>
          <w:sz w:val="19"/>
        </w:rPr>
        <w:t>Rekodkan bebankan, time, settlement, rebound dan alam sekitar keadaan dan stop di defined safety triggers.</w:t>
      </w:r>
    </w:p>
    <w:p>
      <w:pPr>
        <w:keepLines/>
        <w:spacing w:after="100" w:line="269" w:lineRule="auto"/>
        <w:ind w:left="369" w:hanging="369"/>
      </w:pPr>
      <w:r>
        <w:rPr>
          <w:rFonts w:ascii="Aptos" w:hAnsi="Aptos"/>
          <w:b/>
          <w:color w:val="071E33"/>
          <w:sz w:val="19"/>
        </w:rPr>
        <w:t xml:space="preserve">6. Unload dalam controlled stages. </w:t>
      </w:r>
      <w:r>
        <w:rPr>
          <w:rFonts w:ascii="Aptos" w:hAnsi="Aptos"/>
          <w:b w:val="0"/>
          <w:color w:val="263442"/>
          <w:sz w:val="19"/>
        </w:rPr>
        <w:t>Unload dalam controlled stages, periksa  setup dan keluarkan plotted results dan  Engineer's acceptance report.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uji dan reaction reka bentuk; setup pemeriksaan; instrumentasi; loading urutan; readings dan triggers;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reaction failure; kentledge collapse; stored hydraulic energy; sudden pile pergerakan; unauthorised entry.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Uji dan reaction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Setup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Instrumentasi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Loading 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Readings dan triggers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Reaction failure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Kentledge collapse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hydraulic energy</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Sudden pile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entry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Ujian Beban Statik Cerucuk</dc:title>
  <dc:subject>Template penyata kaedah pembinaan yang boleh diedit</dc:subject>
  <dc:creator>Method Statement Hub Malaysia</dc:creator>
  <cp:keywords>pile load test, kentledge, maintained load test, reaction pile</cp:keywords>
  <dc:description>generated by python-docx</dc:description>
  <cp:lastModifiedBy/>
  <cp:revision>1</cp:revision>
  <dcterms:created xsi:type="dcterms:W3CDTF">2013-12-23T23:15:00Z</dcterms:created>
  <dcterms:modified xsi:type="dcterms:W3CDTF">2013-12-23T23:15:00Z</dcterms:modified>
  <cp:category/>
</cp:coreProperties>
</file>